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7EC58E1A" w:rsidR="0030072F" w:rsidRPr="0086018C" w:rsidRDefault="00FF7C70" w:rsidP="001A715B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86018C">
        <w:rPr>
          <w:rFonts w:ascii="Palatino Linotype" w:hAnsi="Palatino Linotype" w:cs="Arial"/>
          <w:b/>
        </w:rPr>
        <w:t>VOTO PARTICULAR QUE FORMULA LA COMISIONADA EVA ABAID YAPUR,</w:t>
      </w:r>
      <w:r w:rsidR="0007653D" w:rsidRPr="0086018C">
        <w:rPr>
          <w:rFonts w:ascii="Palatino Linotype" w:hAnsi="Palatino Linotype" w:cs="Arial"/>
          <w:b/>
        </w:rPr>
        <w:t xml:space="preserve"> EN RELACIÓN CON LA RESOLUCIÓN DICTADA POR EL PLENO DEL INSTITUTO DE TRANSPARENCIA, ACCESO A LA INFORMACIÓN PÚBLICA Y PROTECCIÓN DE </w:t>
      </w:r>
      <w:r w:rsidR="000C2CF9" w:rsidRPr="0086018C">
        <w:rPr>
          <w:rFonts w:ascii="Palatino Linotype" w:hAnsi="Palatino Linotype" w:cs="Arial"/>
          <w:b/>
        </w:rPr>
        <w:t xml:space="preserve">DATOS PERSONALES DEL ESTADO DE MÉXICO Y MUNICIPIOS, EN LA </w:t>
      </w:r>
      <w:r w:rsidR="009C1FB9">
        <w:rPr>
          <w:rFonts w:ascii="Palatino Linotype" w:hAnsi="Palatino Linotype" w:cs="Arial"/>
          <w:b/>
        </w:rPr>
        <w:t>TRIGÉSIMA TERCERA</w:t>
      </w:r>
      <w:r w:rsidR="00AC03B3" w:rsidRPr="0086018C">
        <w:rPr>
          <w:rFonts w:ascii="Palatino Linotype" w:hAnsi="Palatino Linotype" w:cs="Arial"/>
          <w:b/>
        </w:rPr>
        <w:t xml:space="preserve"> </w:t>
      </w:r>
      <w:r w:rsidR="000C2CF9" w:rsidRPr="0086018C">
        <w:rPr>
          <w:rFonts w:ascii="Palatino Linotype" w:hAnsi="Palatino Linotype" w:cs="Arial"/>
          <w:b/>
        </w:rPr>
        <w:t xml:space="preserve">SESIÓN ORDINARIA </w:t>
      </w:r>
      <w:r w:rsidR="00CD13BC" w:rsidRPr="0086018C">
        <w:rPr>
          <w:rFonts w:ascii="Palatino Linotype" w:hAnsi="Palatino Linotype" w:cs="Arial"/>
          <w:b/>
        </w:rPr>
        <w:t xml:space="preserve">DE </w:t>
      </w:r>
      <w:r w:rsidR="009C1FB9">
        <w:rPr>
          <w:rFonts w:ascii="Palatino Linotype" w:hAnsi="Palatino Linotype" w:cs="Arial"/>
          <w:b/>
        </w:rPr>
        <w:t>DOCE DE SEPTIEMBRE</w:t>
      </w:r>
      <w:r w:rsidR="001B4769">
        <w:rPr>
          <w:rFonts w:ascii="Palatino Linotype" w:hAnsi="Palatino Linotype" w:cs="Arial"/>
          <w:b/>
        </w:rPr>
        <w:t xml:space="preserve"> </w:t>
      </w:r>
      <w:r w:rsidR="00C13853">
        <w:rPr>
          <w:rFonts w:ascii="Palatino Linotype" w:hAnsi="Palatino Linotype" w:cs="Arial"/>
          <w:b/>
        </w:rPr>
        <w:t>DE DOS MIL DIECIOCHO</w:t>
      </w:r>
      <w:r w:rsidR="00DA5209" w:rsidRPr="0086018C">
        <w:rPr>
          <w:rFonts w:ascii="Palatino Linotype" w:hAnsi="Palatino Linotype" w:cs="Arial"/>
          <w:b/>
        </w:rPr>
        <w:t xml:space="preserve">, </w:t>
      </w:r>
      <w:r w:rsidR="00D557C2" w:rsidRPr="0086018C">
        <w:rPr>
          <w:rFonts w:ascii="Palatino Linotype" w:hAnsi="Palatino Linotype" w:cs="Arial"/>
          <w:b/>
        </w:rPr>
        <w:t>EN</w:t>
      </w:r>
      <w:r w:rsidR="00037496">
        <w:rPr>
          <w:rFonts w:ascii="Palatino Linotype" w:hAnsi="Palatino Linotype" w:cs="Arial"/>
          <w:b/>
        </w:rPr>
        <w:t xml:space="preserve"> </w:t>
      </w:r>
      <w:r w:rsidR="009C1FB9">
        <w:rPr>
          <w:rFonts w:ascii="Palatino Linotype" w:hAnsi="Palatino Linotype" w:cs="Arial"/>
          <w:b/>
        </w:rPr>
        <w:t>LOS</w:t>
      </w:r>
      <w:r w:rsidR="002D4526" w:rsidRPr="0086018C">
        <w:rPr>
          <w:rFonts w:ascii="Palatino Linotype" w:hAnsi="Palatino Linotype" w:cs="Arial"/>
          <w:b/>
        </w:rPr>
        <w:t xml:space="preserve"> RECURSO</w:t>
      </w:r>
      <w:r w:rsidR="009C1FB9">
        <w:rPr>
          <w:rFonts w:ascii="Palatino Linotype" w:hAnsi="Palatino Linotype" w:cs="Arial"/>
          <w:b/>
        </w:rPr>
        <w:t>S</w:t>
      </w:r>
      <w:r w:rsidR="002D4526" w:rsidRPr="0086018C">
        <w:rPr>
          <w:rFonts w:ascii="Palatino Linotype" w:hAnsi="Palatino Linotype" w:cs="Arial"/>
          <w:b/>
        </w:rPr>
        <w:t xml:space="preserve"> DE REVISIÓN</w:t>
      </w:r>
      <w:r w:rsidR="009C1FB9">
        <w:rPr>
          <w:rFonts w:ascii="Palatino Linotype" w:hAnsi="Palatino Linotype" w:cs="Arial"/>
          <w:b/>
        </w:rPr>
        <w:t xml:space="preserve"> ACUMULADOS</w:t>
      </w:r>
      <w:r w:rsidR="002D4526" w:rsidRPr="0086018C">
        <w:rPr>
          <w:rFonts w:ascii="Palatino Linotype" w:hAnsi="Palatino Linotype" w:cs="Arial"/>
          <w:b/>
        </w:rPr>
        <w:t xml:space="preserve"> </w:t>
      </w:r>
      <w:r w:rsidR="009C1FB9" w:rsidRPr="009C1FB9">
        <w:rPr>
          <w:rFonts w:ascii="Palatino Linotype" w:hAnsi="Palatino Linotype" w:cs="Arial"/>
          <w:b/>
        </w:rPr>
        <w:t>02365/INFOEM/IP/RR/2018, 02366/INFOEM/IP/RR/2018, 02528/INFOEM/IP/RR/2018, 02529/INFOEM/IP/RR/2018, 02530/INFOEM/IP/RR/2018, 02531/INFOEM/IP/RR/2018, 02532/INFOEM/IP/RR/2018, 02533/INFOEM/IP/RR/2018, 02534/INFOEM/IP/RR/2018, 02535/INFOEM/IP/RR/2018, 02537/INFOEM/IP/RR/2018 y 02538/INFOEM/IP/RR/2018</w:t>
      </w:r>
      <w:r w:rsidR="002D4526" w:rsidRPr="0086018C">
        <w:rPr>
          <w:rFonts w:ascii="Palatino Linotype" w:eastAsia="Calibri" w:hAnsi="Palatino Linotype" w:cs="Arial"/>
          <w:b/>
          <w:color w:val="000000"/>
        </w:rPr>
        <w:t>.</w:t>
      </w:r>
    </w:p>
    <w:p w14:paraId="75976F25" w14:textId="45015C32" w:rsidR="0030072F" w:rsidRPr="0086018C" w:rsidRDefault="0030072F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Con fundamento en lo dispuesto por </w:t>
      </w:r>
      <w:r w:rsidR="00B47F5A" w:rsidRPr="0086018C">
        <w:rPr>
          <w:rFonts w:ascii="Palatino Linotype" w:hAnsi="Palatino Linotype" w:cs="Arial"/>
        </w:rPr>
        <w:t>el</w:t>
      </w:r>
      <w:r w:rsidRPr="0086018C">
        <w:rPr>
          <w:rFonts w:ascii="Palatino Linotype" w:hAnsi="Palatino Linotype" w:cs="Arial"/>
        </w:rPr>
        <w:t xml:space="preserve"> artículo </w:t>
      </w:r>
      <w:r w:rsidR="007D05D8" w:rsidRPr="0086018C">
        <w:rPr>
          <w:rFonts w:ascii="Palatino Linotype" w:hAnsi="Palatino Linotype" w:cs="Arial"/>
        </w:rPr>
        <w:t>14</w:t>
      </w:r>
      <w:r w:rsidR="00E42755" w:rsidRPr="0086018C">
        <w:rPr>
          <w:rFonts w:ascii="Palatino Linotype" w:hAnsi="Palatino Linotype" w:cs="Arial"/>
        </w:rPr>
        <w:t>,</w:t>
      </w:r>
      <w:r w:rsidRPr="0086018C">
        <w:rPr>
          <w:rFonts w:ascii="Palatino Linotype" w:hAnsi="Palatino Linotype" w:cs="Arial"/>
        </w:rPr>
        <w:t xml:space="preserve"> fracciones </w:t>
      </w:r>
      <w:r w:rsidR="007D05D8" w:rsidRPr="0086018C">
        <w:rPr>
          <w:rFonts w:ascii="Palatino Linotype" w:hAnsi="Palatino Linotype" w:cs="Arial"/>
        </w:rPr>
        <w:t xml:space="preserve">X y XI </w:t>
      </w:r>
      <w:r w:rsidRPr="0086018C">
        <w:rPr>
          <w:rFonts w:ascii="Palatino Linotype" w:hAnsi="Palatino Linotype" w:cs="Arial"/>
        </w:rPr>
        <w:t xml:space="preserve">del Reglamento Interior del Instituto de Transparencia, Acceso a la Información Pública y Protección de Datos Personales del Estado de México y Municipios, </w:t>
      </w:r>
      <w:r w:rsidR="00FF7C70" w:rsidRPr="0086018C">
        <w:rPr>
          <w:rFonts w:ascii="Palatino Linotype" w:hAnsi="Palatino Linotype" w:cs="Arial"/>
        </w:rPr>
        <w:t xml:space="preserve">la que suscribe Comisionada </w:t>
      </w:r>
      <w:r w:rsidR="00FF7C70" w:rsidRPr="0086018C">
        <w:rPr>
          <w:rFonts w:ascii="Palatino Linotype" w:hAnsi="Palatino Linotype" w:cs="Arial"/>
          <w:b/>
        </w:rPr>
        <w:t>EVA ABAID YAPUR</w:t>
      </w:r>
      <w:r w:rsidR="00FF7C70" w:rsidRPr="0086018C">
        <w:rPr>
          <w:rFonts w:ascii="Palatino Linotype" w:hAnsi="Palatino Linotype" w:cs="Arial"/>
        </w:rPr>
        <w:t xml:space="preserve"> emite </w:t>
      </w:r>
      <w:r w:rsidR="00FF7C70" w:rsidRPr="0086018C">
        <w:rPr>
          <w:rFonts w:ascii="Palatino Linotype" w:hAnsi="Palatino Linotype" w:cs="Arial"/>
          <w:b/>
        </w:rPr>
        <w:t xml:space="preserve">VOTO PARTICULAR </w:t>
      </w:r>
      <w:r w:rsidRPr="0086018C">
        <w:rPr>
          <w:rFonts w:ascii="Palatino Linotype" w:hAnsi="Palatino Linotype" w:cs="Arial"/>
        </w:rPr>
        <w:t xml:space="preserve">respecto de la resolución dictada en </w:t>
      </w:r>
      <w:r w:rsidR="009C1FB9">
        <w:rPr>
          <w:rFonts w:ascii="Palatino Linotype" w:hAnsi="Palatino Linotype" w:cs="Arial"/>
        </w:rPr>
        <w:t>los</w:t>
      </w:r>
      <w:r w:rsidRPr="0086018C">
        <w:rPr>
          <w:rFonts w:ascii="Palatino Linotype" w:hAnsi="Palatino Linotype" w:cs="Arial"/>
        </w:rPr>
        <w:t xml:space="preserve"> recurso</w:t>
      </w:r>
      <w:r w:rsidR="009C1FB9">
        <w:rPr>
          <w:rFonts w:ascii="Palatino Linotype" w:hAnsi="Palatino Linotype" w:cs="Arial"/>
        </w:rPr>
        <w:t>s</w:t>
      </w:r>
      <w:r w:rsidRPr="0086018C">
        <w:rPr>
          <w:rFonts w:ascii="Palatino Linotype" w:hAnsi="Palatino Linotype" w:cs="Arial"/>
        </w:rPr>
        <w:t xml:space="preserve"> de </w:t>
      </w:r>
      <w:r w:rsidRPr="009C1FB9">
        <w:rPr>
          <w:rFonts w:ascii="Palatino Linotype" w:hAnsi="Palatino Linotype" w:cs="Arial"/>
          <w:spacing w:val="-20"/>
        </w:rPr>
        <w:t>revisión</w:t>
      </w:r>
      <w:r w:rsidR="009C1FB9">
        <w:rPr>
          <w:rFonts w:ascii="Palatino Linotype" w:hAnsi="Palatino Linotype" w:cs="Arial"/>
          <w:spacing w:val="-20"/>
        </w:rPr>
        <w:t xml:space="preserve"> acumulados</w:t>
      </w:r>
      <w:r w:rsidR="00037496" w:rsidRPr="009C1FB9">
        <w:rPr>
          <w:rFonts w:ascii="Palatino Linotype" w:hAnsi="Palatino Linotype" w:cs="Arial"/>
          <w:spacing w:val="-20"/>
        </w:rPr>
        <w:t xml:space="preserve"> </w:t>
      </w:r>
      <w:r w:rsidR="009C1FB9" w:rsidRPr="009C1FB9">
        <w:rPr>
          <w:rFonts w:ascii="Palatino Linotype" w:eastAsia="Calibri" w:hAnsi="Palatino Linotype" w:cs="Arial"/>
          <w:b/>
          <w:color w:val="000000"/>
          <w:spacing w:val="-20"/>
        </w:rPr>
        <w:t>02365/INFOEM/IP/RR/2018, 02366/INFOEM/IP/RR/2018, 02528/INFOEM/IP/RR/2018, 02529/INFOEM/IP/RR/2018, 02530/INFOEM/IP/RR/2018, 02531/INFOEM/IP/RR/2018, 02532/INFOEM/IP/RR/2018, 02533/INFOEM/IP/RR/2018, 02534/INFOEM/IP/RR/2018, 02535/INFOEM/IP/RR/2018, 02537/INFOEM/IP/RR/2018 y 02538/INFOEM/IP/RR/2018</w:t>
      </w:r>
      <w:r w:rsidRPr="0086018C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9C1FB9">
        <w:rPr>
          <w:rFonts w:ascii="Palatino Linotype" w:hAnsi="Palatino Linotype" w:cs="Arial"/>
        </w:rPr>
        <w:t xml:space="preserve">la Comisionada Presidenta </w:t>
      </w:r>
      <w:r w:rsidR="009C1FB9">
        <w:rPr>
          <w:rFonts w:ascii="Palatino Linotype" w:hAnsi="Palatino Linotype" w:cs="Arial"/>
          <w:b/>
        </w:rPr>
        <w:t>ZULEMA MARTÍNEZ SÁNCHEZ</w:t>
      </w:r>
      <w:r w:rsidR="00037496">
        <w:rPr>
          <w:rFonts w:ascii="Palatino Linotype" w:hAnsi="Palatino Linotype" w:cs="Arial"/>
          <w:b/>
        </w:rPr>
        <w:t>,</w:t>
      </w:r>
      <w:r w:rsidR="00037496">
        <w:rPr>
          <w:rFonts w:ascii="Palatino Linotype" w:hAnsi="Palatino Linotype" w:cs="Arial"/>
        </w:rPr>
        <w:t xml:space="preserve"> que es del tenor siguiente.</w:t>
      </w:r>
    </w:p>
    <w:p w14:paraId="3802A3D4" w14:textId="73C55637" w:rsidR="0007653D" w:rsidRPr="0086018C" w:rsidRDefault="0007653D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86018C">
        <w:rPr>
          <w:rFonts w:ascii="Palatino Linotype" w:hAnsi="Palatino Linotype"/>
        </w:rPr>
        <w:lastRenderedPageBreak/>
        <w:t>Es de destacar, que la suscrita compart</w:t>
      </w:r>
      <w:r w:rsidR="00847E60" w:rsidRPr="0086018C">
        <w:rPr>
          <w:rFonts w:ascii="Palatino Linotype" w:hAnsi="Palatino Linotype"/>
        </w:rPr>
        <w:t>e</w:t>
      </w:r>
      <w:r w:rsidRPr="0086018C">
        <w:rPr>
          <w:rFonts w:ascii="Palatino Linotype" w:hAnsi="Palatino Linotype"/>
        </w:rPr>
        <w:t xml:space="preserve"> </w:t>
      </w:r>
      <w:r w:rsidR="00A04C79" w:rsidRPr="0086018C">
        <w:rPr>
          <w:rFonts w:ascii="Palatino Linotype" w:hAnsi="Palatino Linotype"/>
        </w:rPr>
        <w:t xml:space="preserve">esencialmente el estudio realizado en la resolución </w:t>
      </w:r>
      <w:r w:rsidRPr="0086018C">
        <w:rPr>
          <w:rFonts w:ascii="Palatino Linotype" w:hAnsi="Palatino Linotype"/>
        </w:rPr>
        <w:t>del recurso de revis</w:t>
      </w:r>
      <w:r w:rsidR="00D557C2" w:rsidRPr="0086018C">
        <w:rPr>
          <w:rFonts w:ascii="Palatino Linotype" w:hAnsi="Palatino Linotype"/>
        </w:rPr>
        <w:t xml:space="preserve">ión; empero, </w:t>
      </w:r>
      <w:r w:rsidRPr="0086018C">
        <w:rPr>
          <w:rFonts w:ascii="Palatino Linotype" w:hAnsi="Palatino Linotype"/>
        </w:rPr>
        <w:t>consider</w:t>
      </w:r>
      <w:r w:rsidR="00FF7C70" w:rsidRPr="0086018C">
        <w:rPr>
          <w:rFonts w:ascii="Palatino Linotype" w:hAnsi="Palatino Linotype"/>
        </w:rPr>
        <w:t>o</w:t>
      </w:r>
      <w:r w:rsidRPr="0086018C">
        <w:rPr>
          <w:rFonts w:ascii="Palatino Linotype" w:hAnsi="Palatino Linotype"/>
        </w:rPr>
        <w:t xml:space="preserve"> necesario precisar algunas </w:t>
      </w:r>
      <w:r w:rsidR="00416F64">
        <w:rPr>
          <w:rFonts w:ascii="Palatino Linotype" w:hAnsi="Palatino Linotype"/>
        </w:rPr>
        <w:t>cuestiones</w:t>
      </w:r>
      <w:r w:rsidRPr="0086018C">
        <w:rPr>
          <w:rFonts w:ascii="Palatino Linotype" w:hAnsi="Palatino Linotype"/>
        </w:rPr>
        <w:t xml:space="preserve"> de hecho y de derecho, </w:t>
      </w:r>
      <w:r w:rsidR="006301B2" w:rsidRPr="0086018C">
        <w:rPr>
          <w:rFonts w:ascii="Palatino Linotype" w:hAnsi="Palatino Linotype"/>
        </w:rPr>
        <w:t xml:space="preserve">tocante </w:t>
      </w:r>
      <w:r w:rsidR="001B4769">
        <w:rPr>
          <w:rFonts w:ascii="Palatino Linotype" w:hAnsi="Palatino Linotype"/>
        </w:rPr>
        <w:t>a lo ordenado dentro de la</w:t>
      </w:r>
      <w:r w:rsidRPr="0086018C">
        <w:rPr>
          <w:rFonts w:ascii="Palatino Linotype" w:hAnsi="Palatino Linotype"/>
        </w:rPr>
        <w:t xml:space="preserve"> resolución correspondiente.</w:t>
      </w:r>
    </w:p>
    <w:p w14:paraId="228A0894" w14:textId="675E832C" w:rsidR="00337BB0" w:rsidRDefault="00275FC5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</w:t>
      </w:r>
      <w:r w:rsidR="001D532F">
        <w:rPr>
          <w:rFonts w:ascii="Palatino Linotype" w:hAnsi="Palatino Linotype"/>
        </w:rPr>
        <w:t>ón materia del presente voto, la</w:t>
      </w:r>
      <w:r w:rsidRPr="00D93A88">
        <w:rPr>
          <w:rFonts w:ascii="Palatino Linotype" w:hAnsi="Palatino Linotype"/>
        </w:rPr>
        <w:t xml:space="preserve"> particular </w:t>
      </w:r>
      <w:r w:rsidR="00CA19BB">
        <w:rPr>
          <w:rFonts w:ascii="Palatino Linotype" w:hAnsi="Palatino Linotype"/>
        </w:rPr>
        <w:t>requirió de la</w:t>
      </w:r>
      <w:r>
        <w:rPr>
          <w:rFonts w:ascii="Palatino Linotype" w:hAnsi="Palatino Linotype"/>
        </w:rPr>
        <w:t xml:space="preserve"> </w:t>
      </w:r>
      <w:r w:rsidR="00CA19BB">
        <w:rPr>
          <w:rFonts w:ascii="Palatino Linotype" w:hAnsi="Palatino Linotype"/>
          <w:b/>
          <w:sz w:val="23"/>
          <w:szCs w:val="23"/>
        </w:rPr>
        <w:t>Universidad Politécnica del Valle de Toluca</w:t>
      </w:r>
      <w:r w:rsidR="00C13853">
        <w:rPr>
          <w:rFonts w:ascii="Palatino Linotype" w:hAnsi="Palatino Linotype"/>
        </w:rPr>
        <w:t xml:space="preserve">, en lo sucesivo </w:t>
      </w:r>
      <w:r w:rsidR="00C13853">
        <w:rPr>
          <w:rFonts w:ascii="Palatino Linotype" w:hAnsi="Palatino Linotype"/>
          <w:b/>
        </w:rPr>
        <w:t xml:space="preserve">EL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 w:rsidR="001B4769">
        <w:rPr>
          <w:rFonts w:ascii="Palatino Linotype" w:hAnsi="Palatino Linotype"/>
        </w:rPr>
        <w:t xml:space="preserve"> lo que se desagrega a continuación:</w:t>
      </w:r>
    </w:p>
    <w:p w14:paraId="372CCFAB" w14:textId="77777777" w:rsidR="00CA19BB" w:rsidRPr="00CA19BB" w:rsidRDefault="001B4769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 w:cs="Arial"/>
          <w:i/>
          <w:sz w:val="22"/>
          <w:szCs w:val="22"/>
        </w:rPr>
        <w:t>“</w:t>
      </w:r>
      <w:r w:rsidR="00CA19BB"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00353/UPVT/IP/2018,</w:t>
      </w:r>
    </w:p>
    <w:p w14:paraId="054E749D" w14:textId="2F4C0392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“Programa Anual de Difusión 2018, </w:t>
      </w:r>
      <w:proofErr w:type="spellStart"/>
      <w:r w:rsidRPr="00CA19BB">
        <w:rPr>
          <w:rFonts w:ascii="Palatino Linotype" w:hAnsi="Palatino Linotype"/>
          <w:i/>
          <w:sz w:val="22"/>
          <w:szCs w:val="22"/>
          <w:lang w:val="es-ES_tradnl"/>
        </w:rPr>
        <w:t>ademas</w:t>
      </w:r>
      <w:proofErr w:type="spellEnd"/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 de las evidencias que ya se tengan y las cedulas o formatos arbitrales de los torneos ya desarrollados, coincidiendo actividades y formatos” [Sic]</w:t>
      </w:r>
    </w:p>
    <w:p w14:paraId="2DDC5C1D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00352/UPVT/IP/2018,</w:t>
      </w:r>
    </w:p>
    <w:p w14:paraId="53913C3A" w14:textId="1231BB54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“Programa Anual de Difusión 2017, además de las evidencias del mismo y las cédulas o formatos arbitrales de los torneos internos de ese año, coincidiendo actividades y formatos” [Sic]</w:t>
      </w:r>
    </w:p>
    <w:p w14:paraId="05C065C0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00342/UPVT/IP/2018,</w:t>
      </w:r>
    </w:p>
    <w:p w14:paraId="094FB52C" w14:textId="3BCEC0CB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2007 organizados por el departamento de vinculación” [Sic]</w:t>
      </w:r>
    </w:p>
    <w:p w14:paraId="51E5FE4C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00343/UPVT/IP/2018,</w:t>
      </w:r>
    </w:p>
    <w:p w14:paraId="2AB54630" w14:textId="18EC3D57" w:rsidR="00CA19B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2008 coordinados y/</w:t>
      </w:r>
      <w:proofErr w:type="spellStart"/>
      <w:r w:rsidRPr="00CA19BB">
        <w:rPr>
          <w:rFonts w:ascii="Palatino Linotype" w:hAnsi="Palatino Linotype"/>
          <w:i/>
          <w:sz w:val="22"/>
          <w:szCs w:val="22"/>
          <w:lang w:val="es-ES_tradnl"/>
        </w:rPr>
        <w:t>o</w:t>
      </w:r>
      <w:proofErr w:type="spellEnd"/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 organizados por el departamento de vinculación” [Sic]</w:t>
      </w:r>
    </w:p>
    <w:p w14:paraId="27D2193D" w14:textId="77777777" w:rsidR="00341887" w:rsidRPr="001A715B" w:rsidRDefault="00341887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14:paraId="07527396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lastRenderedPageBreak/>
        <w:t>00344/UPVT/IP/2018,</w:t>
      </w:r>
    </w:p>
    <w:p w14:paraId="1B30C0EF" w14:textId="39F9F272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2009 coordinados y/</w:t>
      </w:r>
      <w:proofErr w:type="spellStart"/>
      <w:r w:rsidRPr="00CA19BB">
        <w:rPr>
          <w:rFonts w:ascii="Palatino Linotype" w:hAnsi="Palatino Linotype"/>
          <w:i/>
          <w:sz w:val="22"/>
          <w:szCs w:val="22"/>
          <w:lang w:val="es-ES_tradnl"/>
        </w:rPr>
        <w:t>o</w:t>
      </w:r>
      <w:proofErr w:type="spellEnd"/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 organizados por el departamento de vinculación” [Sic]</w:t>
      </w:r>
    </w:p>
    <w:p w14:paraId="38664294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00345/UPVT/IP/2018,</w:t>
      </w:r>
    </w:p>
    <w:p w14:paraId="2E65BF08" w14:textId="44D6CFF6" w:rsidR="00CA19B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2010 coordinados y/u organizados por el departamento de vinculación” [Sic]</w:t>
      </w:r>
    </w:p>
    <w:p w14:paraId="662F0D1C" w14:textId="77777777" w:rsidR="00341887" w:rsidRPr="001A715B" w:rsidRDefault="00341887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14:paraId="105E7299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00346/UPVT/IP/2018,</w:t>
      </w:r>
    </w:p>
    <w:p w14:paraId="616F04AF" w14:textId="7FF4F451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los torneos internos en 2011 coordinados y/u organizados por el departamento de vinculación” [Sic]</w:t>
      </w:r>
    </w:p>
    <w:p w14:paraId="7B138A08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00347/UPVT/IP/2018,</w:t>
      </w:r>
    </w:p>
    <w:p w14:paraId="10D99B5A" w14:textId="734DD377" w:rsidR="00CA19B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2012 coordinados y/u organizados por el departamento de vinculación” [Sic]</w:t>
      </w:r>
    </w:p>
    <w:p w14:paraId="3A17BA21" w14:textId="77777777" w:rsidR="00E24604" w:rsidRDefault="00E24604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</w:p>
    <w:p w14:paraId="072987A4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00348/UPVT/IP/2018,</w:t>
      </w:r>
    </w:p>
    <w:p w14:paraId="0335A012" w14:textId="0BB668CE" w:rsidR="00CA19B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2013 coordinados y/u organizados por el departamento de vinculación” [Sic]</w:t>
      </w:r>
    </w:p>
    <w:p w14:paraId="76EFBCE8" w14:textId="77777777" w:rsidR="00341887" w:rsidRPr="001A715B" w:rsidRDefault="00341887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14:paraId="3B4A7E5F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00349/UPVT/IP/2018,</w:t>
      </w:r>
    </w:p>
    <w:p w14:paraId="0936A02C" w14:textId="6FDF61F4" w:rsidR="00CA19B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2014 coordinados y/u organizados por el departamento de vinculación” [Sic]</w:t>
      </w:r>
    </w:p>
    <w:p w14:paraId="3616E814" w14:textId="77777777" w:rsidR="00341887" w:rsidRPr="001A715B" w:rsidRDefault="00341887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</w:p>
    <w:p w14:paraId="0FAB7D4C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00350/UPVT/IP/2018,</w:t>
      </w:r>
    </w:p>
    <w:p w14:paraId="32427C80" w14:textId="67BDB38A" w:rsidR="00CA19B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>“Cédulas o formatos de arbitraje correspondientes a torneos internos en 2015 coordinados y/u organizados por el departamento de vinculación” [Sic]</w:t>
      </w:r>
    </w:p>
    <w:p w14:paraId="3BAF152A" w14:textId="77777777" w:rsidR="00CA19BB" w:rsidRPr="00CA19BB" w:rsidRDefault="00CA19BB" w:rsidP="001A715B">
      <w:pPr>
        <w:pStyle w:val="Sinespaciado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  <w:r w:rsidRPr="00CA19BB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00351/UPVT/IP/2018,</w:t>
      </w:r>
    </w:p>
    <w:p w14:paraId="739DB688" w14:textId="047073D9" w:rsidR="001A715B" w:rsidRPr="001A715B" w:rsidRDefault="00CA19BB" w:rsidP="001A715B">
      <w:pPr>
        <w:pStyle w:val="Sinespaciado"/>
        <w:spacing w:before="100" w:beforeAutospacing="1" w:after="100" w:afterAutospacing="1"/>
        <w:ind w:left="567" w:right="567"/>
        <w:jc w:val="both"/>
        <w:rPr>
          <w:rFonts w:ascii="Palatino Linotype" w:hAnsi="Palatino Linotype"/>
          <w:i/>
          <w:sz w:val="22"/>
          <w:szCs w:val="22"/>
          <w:lang w:val="es-ES_tradnl"/>
        </w:rPr>
      </w:pPr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“Programa Anual de Difusión 2016, además de las evidencias del mismo y las cédulas o formatos arbitrales de los torneos internos de ese año, </w:t>
      </w:r>
      <w:proofErr w:type="spellStart"/>
      <w:r w:rsidRPr="00CA19BB">
        <w:rPr>
          <w:rFonts w:ascii="Palatino Linotype" w:hAnsi="Palatino Linotype"/>
          <w:i/>
          <w:sz w:val="22"/>
          <w:szCs w:val="22"/>
          <w:lang w:val="es-ES_tradnl"/>
        </w:rPr>
        <w:t>coinciendo</w:t>
      </w:r>
      <w:proofErr w:type="spellEnd"/>
      <w:r w:rsidRPr="00CA19BB">
        <w:rPr>
          <w:rFonts w:ascii="Palatino Linotype" w:hAnsi="Palatino Linotype"/>
          <w:i/>
          <w:sz w:val="22"/>
          <w:szCs w:val="22"/>
          <w:lang w:val="es-ES_tradnl"/>
        </w:rPr>
        <w:t xml:space="preserve"> actividades y formatos” [Sic]</w:t>
      </w:r>
    </w:p>
    <w:p w14:paraId="4493FFDE" w14:textId="7A1913D5" w:rsidR="00275FC5" w:rsidRDefault="00275FC5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</w:t>
      </w:r>
      <w:r w:rsidR="00C67120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se puede apreciar dentro del expediente electrónico del Sistema de Acceso a la Información Mexiquense</w:t>
      </w:r>
      <w:r w:rsidR="008205F5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en lo subsecuente el </w:t>
      </w:r>
      <w:r w:rsidRPr="00674996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>
        <w:rPr>
          <w:rFonts w:ascii="Palatino Linotype" w:hAnsi="Palatino Linotype" w:cs="Arial"/>
        </w:rPr>
        <w:t xml:space="preserve"> </w:t>
      </w:r>
      <w:r w:rsidR="001F23BE">
        <w:rPr>
          <w:rFonts w:ascii="Palatino Linotype" w:hAnsi="Palatino Linotype" w:cs="Arial"/>
        </w:rPr>
        <w:t xml:space="preserve">que </w:t>
      </w:r>
      <w:r w:rsidR="008205F5">
        <w:rPr>
          <w:rFonts w:ascii="Palatino Linotype" w:hAnsi="Palatino Linotype" w:cs="Arial"/>
          <w:b/>
        </w:rPr>
        <w:t>EL SUJETO OBLIGADO</w:t>
      </w:r>
      <w:r w:rsidR="00341887">
        <w:rPr>
          <w:rFonts w:ascii="Palatino Linotype" w:hAnsi="Palatino Linotype" w:cs="Arial"/>
        </w:rPr>
        <w:t xml:space="preserve"> en respuestas adjuntó</w:t>
      </w:r>
      <w:r w:rsidR="00672C7B">
        <w:rPr>
          <w:rFonts w:ascii="Palatino Linotype" w:hAnsi="Palatino Linotype" w:cs="Arial"/>
        </w:rPr>
        <w:t xml:space="preserve"> diversos archivos electrónicos en donde manifestó contar con la información, requiriendo un previo pago de derechos, debido a que no se encuentra digitalizada la información</w:t>
      </w:r>
      <w:r w:rsidR="00A34EA2">
        <w:rPr>
          <w:rFonts w:ascii="Palatino Linotype" w:hAnsi="Palatino Linotype" w:cs="Arial"/>
        </w:rPr>
        <w:t>.</w:t>
      </w:r>
    </w:p>
    <w:p w14:paraId="7AF67FF2" w14:textId="15DDFCA0" w:rsidR="00310899" w:rsidRDefault="00A34EA2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</w:rPr>
        <w:t xml:space="preserve">Acto seguido, </w:t>
      </w:r>
      <w:r w:rsidR="001D532F">
        <w:rPr>
          <w:rFonts w:ascii="Palatino Linotype" w:hAnsi="Palatino Linotype" w:cs="Arial"/>
        </w:rPr>
        <w:t>la</w:t>
      </w:r>
      <w:r w:rsidR="00416F64">
        <w:rPr>
          <w:rFonts w:ascii="Palatino Linotype" w:hAnsi="Palatino Linotype" w:cs="Arial"/>
        </w:rPr>
        <w:t xml:space="preserve"> ahora</w:t>
      </w:r>
      <w:r w:rsidRPr="00A34EA2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</w:rPr>
        <w:t xml:space="preserve"> se inconformó de la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respuesta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proporcionada</w:t>
      </w:r>
      <w:r w:rsidR="00672C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>, por lo que procedió a interponer el recurso de revisión</w:t>
      </w:r>
      <w:r w:rsidR="00672C7B">
        <w:rPr>
          <w:rFonts w:ascii="Palatino Linotype" w:hAnsi="Palatino Linotype" w:cs="Arial"/>
        </w:rPr>
        <w:t xml:space="preserve"> en el que medularmente se inconforma de</w:t>
      </w:r>
      <w:r w:rsidR="001721A6">
        <w:rPr>
          <w:rFonts w:ascii="Palatino Linotype" w:hAnsi="Palatino Linotype" w:cs="Arial"/>
        </w:rPr>
        <w:t xml:space="preserve">l cobro </w:t>
      </w:r>
      <w:r w:rsidR="00672C7B">
        <w:rPr>
          <w:rFonts w:ascii="Palatino Linotype" w:hAnsi="Palatino Linotype" w:cs="Arial"/>
        </w:rPr>
        <w:t xml:space="preserve">por </w:t>
      </w:r>
      <w:r w:rsidR="001721A6" w:rsidRPr="001721A6">
        <w:rPr>
          <w:rFonts w:ascii="Palatino Linotype" w:hAnsi="Palatino Linotype" w:cs="Arial"/>
        </w:rPr>
        <w:t>concepto de derechos</w:t>
      </w:r>
      <w:r w:rsidR="00672C7B">
        <w:rPr>
          <w:rFonts w:ascii="Palatino Linotype" w:hAnsi="Palatino Linotype" w:cs="Arial"/>
          <w:b/>
        </w:rPr>
        <w:t>.</w:t>
      </w:r>
    </w:p>
    <w:p w14:paraId="74E9F3C4" w14:textId="5006E596" w:rsidR="00B5072E" w:rsidRDefault="007C0FDA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6018C">
        <w:rPr>
          <w:rFonts w:ascii="Palatino Linotype" w:hAnsi="Palatino Linotype" w:cs="Arial"/>
        </w:rPr>
        <w:t xml:space="preserve">Así, </w:t>
      </w:r>
      <w:r w:rsidR="00B5072E" w:rsidRPr="0086018C">
        <w:rPr>
          <w:rFonts w:ascii="Palatino Linotype" w:hAnsi="Palatino Linotype" w:cs="Arial"/>
        </w:rPr>
        <w:t>de</w:t>
      </w:r>
      <w:r w:rsidRPr="0086018C">
        <w:rPr>
          <w:rFonts w:ascii="Palatino Linotype" w:hAnsi="Palatino Linotype" w:cs="Arial"/>
        </w:rPr>
        <w:t xml:space="preserve">l estudio </w:t>
      </w:r>
      <w:r w:rsidR="00B5072E" w:rsidRPr="0086018C">
        <w:rPr>
          <w:rFonts w:ascii="Palatino Linotype" w:hAnsi="Palatino Linotype" w:cs="Arial"/>
        </w:rPr>
        <w:t>d</w:t>
      </w:r>
      <w:r w:rsidR="00B5072E" w:rsidRPr="0086018C">
        <w:rPr>
          <w:rFonts w:ascii="Palatino Linotype" w:hAnsi="Palatino Linotype"/>
        </w:rPr>
        <w:t>el expediente electrónico del SAIMEX</w:t>
      </w:r>
      <w:r w:rsidRPr="0086018C">
        <w:rPr>
          <w:rFonts w:ascii="Palatino Linotype" w:hAnsi="Palatino Linotype" w:cs="Arial"/>
        </w:rPr>
        <w:t xml:space="preserve">, </w:t>
      </w:r>
      <w:r w:rsidR="0007653D" w:rsidRPr="0086018C">
        <w:rPr>
          <w:rFonts w:ascii="Palatino Linotype" w:hAnsi="Palatino Linotype" w:cs="Arial"/>
        </w:rPr>
        <w:t xml:space="preserve">la Ponencia </w:t>
      </w:r>
      <w:proofErr w:type="spellStart"/>
      <w:r w:rsidR="0007653D" w:rsidRPr="0086018C">
        <w:rPr>
          <w:rFonts w:ascii="Palatino Linotype" w:hAnsi="Palatino Linotype" w:cs="Arial"/>
        </w:rPr>
        <w:t>Resolut</w:t>
      </w:r>
      <w:r w:rsidR="00414E48" w:rsidRPr="0086018C">
        <w:rPr>
          <w:rFonts w:ascii="Palatino Linotype" w:hAnsi="Palatino Linotype" w:cs="Arial"/>
        </w:rPr>
        <w:t>o</w:t>
      </w:r>
      <w:r w:rsidR="0007653D" w:rsidRPr="0086018C">
        <w:rPr>
          <w:rFonts w:ascii="Palatino Linotype" w:hAnsi="Palatino Linotype" w:cs="Arial"/>
        </w:rPr>
        <w:t>ra</w:t>
      </w:r>
      <w:proofErr w:type="spellEnd"/>
      <w:r w:rsidR="0007653D" w:rsidRPr="0086018C">
        <w:rPr>
          <w:rFonts w:ascii="Palatino Linotype" w:hAnsi="Palatino Linotype" w:cs="Arial"/>
        </w:rPr>
        <w:t xml:space="preserve"> determinó</w:t>
      </w:r>
      <w:r w:rsidRPr="0086018C">
        <w:rPr>
          <w:rFonts w:ascii="Palatino Linotype" w:hAnsi="Palatino Linotype" w:cs="Arial"/>
        </w:rPr>
        <w:t xml:space="preserve"> </w:t>
      </w:r>
      <w:r w:rsidR="00672C7B">
        <w:rPr>
          <w:rFonts w:ascii="Palatino Linotype" w:hAnsi="Palatino Linotype" w:cs="Arial"/>
          <w:b/>
        </w:rPr>
        <w:t>MODIFICAR</w:t>
      </w:r>
      <w:r w:rsidR="00ED3510">
        <w:rPr>
          <w:rFonts w:ascii="Palatino Linotype" w:hAnsi="Palatino Linotype" w:cs="Arial"/>
          <w:b/>
        </w:rPr>
        <w:t xml:space="preserve"> </w:t>
      </w:r>
      <w:r w:rsidR="001B4769">
        <w:rPr>
          <w:rFonts w:ascii="Palatino Linotype" w:hAnsi="Palatino Linotype" w:cs="Arial"/>
        </w:rPr>
        <w:t>la</w:t>
      </w:r>
      <w:r w:rsidR="00672C7B">
        <w:rPr>
          <w:rFonts w:ascii="Palatino Linotype" w:hAnsi="Palatino Linotype" w:cs="Arial"/>
        </w:rPr>
        <w:t>s</w:t>
      </w:r>
      <w:r w:rsidR="001B4769">
        <w:rPr>
          <w:rFonts w:ascii="Palatino Linotype" w:hAnsi="Palatino Linotype" w:cs="Arial"/>
        </w:rPr>
        <w:t xml:space="preserve"> </w:t>
      </w:r>
      <w:r w:rsidR="00672C7B">
        <w:rPr>
          <w:rFonts w:ascii="Palatino Linotype" w:hAnsi="Palatino Linotype" w:cs="Arial"/>
        </w:rPr>
        <w:t>respuestas ordenando la entrega de lo siguiente</w:t>
      </w:r>
      <w:r w:rsidR="001B4769">
        <w:rPr>
          <w:rFonts w:ascii="Palatino Linotype" w:hAnsi="Palatino Linotype" w:cs="Arial"/>
        </w:rPr>
        <w:t>:</w:t>
      </w:r>
    </w:p>
    <w:p w14:paraId="3668A3DF" w14:textId="7C6A8E06" w:rsidR="001A715B" w:rsidRPr="001A715B" w:rsidRDefault="00672C7B" w:rsidP="001A715B">
      <w:pPr>
        <w:pStyle w:val="Prrafodelista"/>
        <w:numPr>
          <w:ilvl w:val="0"/>
          <w:numId w:val="15"/>
        </w:numPr>
        <w:spacing w:before="100" w:beforeAutospacing="1" w:after="100" w:afterAutospacing="1"/>
        <w:ind w:left="851" w:right="757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 w:rsidRPr="00672C7B">
        <w:rPr>
          <w:rFonts w:ascii="Palatino Linotype" w:hAnsi="Palatino Linotype"/>
          <w:i/>
          <w:sz w:val="22"/>
          <w:szCs w:val="22"/>
        </w:rPr>
        <w:t>Formatos o cédulas de arbitraje de los torneos organizados por el Departamento de Vinculación y Extensión en el periodo comprendido del primero de enero de dos mil siete al treinta de mayo de dos mil dieciocho.</w:t>
      </w:r>
    </w:p>
    <w:p w14:paraId="47ACD9DF" w14:textId="5980F143" w:rsidR="00672C7B" w:rsidRPr="001A715B" w:rsidRDefault="00672C7B" w:rsidP="001A715B">
      <w:pPr>
        <w:pStyle w:val="Prrafodelista"/>
        <w:numPr>
          <w:ilvl w:val="0"/>
          <w:numId w:val="15"/>
        </w:numPr>
        <w:spacing w:before="100" w:beforeAutospacing="1" w:after="100" w:afterAutospacing="1"/>
        <w:ind w:left="851" w:right="757"/>
        <w:contextualSpacing w:val="0"/>
        <w:jc w:val="both"/>
        <w:rPr>
          <w:rFonts w:ascii="Palatino Linotype" w:hAnsi="Palatino Linotype"/>
          <w:i/>
          <w:sz w:val="22"/>
          <w:szCs w:val="22"/>
        </w:rPr>
      </w:pPr>
      <w:r w:rsidRPr="00672C7B">
        <w:rPr>
          <w:rFonts w:ascii="Palatino Linotype" w:hAnsi="Palatino Linotype"/>
          <w:i/>
          <w:sz w:val="22"/>
          <w:szCs w:val="22"/>
        </w:rPr>
        <w:t>Programa Anual de Difusión del año dos mil dieciséis.</w:t>
      </w:r>
    </w:p>
    <w:p w14:paraId="5FEC0C1B" w14:textId="01E88148" w:rsidR="001B4769" w:rsidRPr="001A715B" w:rsidRDefault="00672C7B" w:rsidP="001A715B">
      <w:pPr>
        <w:spacing w:before="100" w:beforeAutospacing="1" w:after="100" w:afterAutospacing="1"/>
        <w:ind w:left="851" w:right="757"/>
        <w:jc w:val="both"/>
        <w:rPr>
          <w:rFonts w:ascii="Palatino Linotype" w:hAnsi="Palatino Linotype"/>
          <w:i/>
          <w:sz w:val="22"/>
          <w:szCs w:val="22"/>
          <w:lang w:val="es-ES"/>
        </w:rPr>
      </w:pPr>
      <w:r w:rsidRPr="00672C7B">
        <w:rPr>
          <w:rFonts w:ascii="Palatino Linotype" w:hAnsi="Palatino Linotype"/>
          <w:i/>
          <w:sz w:val="22"/>
          <w:szCs w:val="22"/>
          <w:lang w:val="es-ES"/>
        </w:rPr>
        <w:t>En el supuesto de que la información referida en el inciso a) no se localice, bastará con que el Sujeto Obligado lo manifieste en ese sentido.</w:t>
      </w:r>
    </w:p>
    <w:p w14:paraId="2A6091F4" w14:textId="7DF13B8E" w:rsidR="00672C7B" w:rsidRPr="001D02E7" w:rsidRDefault="00672C7B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</w:t>
      </w:r>
      <w:r w:rsidR="00A857E8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lo anterior, se advierte que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, dio por colmada la pretensión de </w:t>
      </w:r>
      <w:r w:rsidRPr="003630F2">
        <w:rPr>
          <w:rFonts w:ascii="Palatino Linotype" w:hAnsi="Palatino Linotype" w:cs="Arial"/>
          <w:b/>
        </w:rPr>
        <w:t>LA</w:t>
      </w:r>
      <w:r w:rsidRPr="001D02E7">
        <w:rPr>
          <w:rFonts w:ascii="Palatino Linotype" w:hAnsi="Palatino Linotype" w:cs="Arial"/>
          <w:b/>
        </w:rPr>
        <w:t xml:space="preserve"> RECURRENTE</w:t>
      </w:r>
      <w:r>
        <w:rPr>
          <w:rFonts w:ascii="Palatino Linotype" w:hAnsi="Palatino Linotype" w:cs="Arial"/>
          <w:b/>
        </w:rPr>
        <w:t xml:space="preserve">, </w:t>
      </w:r>
      <w:r>
        <w:rPr>
          <w:rFonts w:ascii="Palatino Linotype" w:hAnsi="Palatino Linotype" w:cs="Arial"/>
        </w:rPr>
        <w:t xml:space="preserve">respecto de </w:t>
      </w:r>
      <w:r w:rsidR="001D532F">
        <w:rPr>
          <w:rFonts w:ascii="Palatino Linotype" w:hAnsi="Palatino Linotype" w:cs="Arial"/>
        </w:rPr>
        <w:t>las evidencias derivadas de los Planes Anuales de Difusión de los años 2016, 2017 y 2018, toda vez que dentro de los resolutivos</w:t>
      </w:r>
      <w:r w:rsidR="00815919">
        <w:rPr>
          <w:rFonts w:ascii="Palatino Linotype" w:hAnsi="Palatino Linotype" w:cs="Arial"/>
        </w:rPr>
        <w:t xml:space="preserve"> no se advierten específicamente dentro de lo ordenado en el resolutivo segundo</w:t>
      </w:r>
      <w:r>
        <w:rPr>
          <w:rFonts w:ascii="Palatino Linotype" w:hAnsi="Palatino Linotype" w:cs="Arial"/>
        </w:rPr>
        <w:t>.</w:t>
      </w:r>
    </w:p>
    <w:p w14:paraId="55CC0665" w14:textId="3A70EBD6" w:rsidR="00672C7B" w:rsidRDefault="00672C7B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sentido, la que suscribe considera que el archivo adjunto por parte del </w:t>
      </w:r>
      <w:r w:rsidRPr="008D532B"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  <w:b/>
        </w:rPr>
        <w:t xml:space="preserve"> </w:t>
      </w:r>
      <w:r w:rsidR="001721A6">
        <w:rPr>
          <w:rFonts w:ascii="Palatino Linotype" w:hAnsi="Palatino Linotype" w:cs="Arial"/>
        </w:rPr>
        <w:t xml:space="preserve">dentro de </w:t>
      </w:r>
      <w:r w:rsidR="00684B8F">
        <w:rPr>
          <w:rFonts w:ascii="Palatino Linotype" w:hAnsi="Palatino Linotype" w:cs="Arial"/>
        </w:rPr>
        <w:t>su</w:t>
      </w:r>
      <w:r w:rsidR="001721A6">
        <w:rPr>
          <w:rFonts w:ascii="Palatino Linotype" w:hAnsi="Palatino Linotype" w:cs="Arial"/>
        </w:rPr>
        <w:t>s</w:t>
      </w:r>
      <w:r w:rsidR="00684B8F">
        <w:rPr>
          <w:rFonts w:ascii="Palatino Linotype" w:hAnsi="Palatino Linotype" w:cs="Arial"/>
        </w:rPr>
        <w:t xml:space="preserve"> respuestas es decir, </w:t>
      </w:r>
      <w:r w:rsidR="00684B8F">
        <w:rPr>
          <w:rFonts w:ascii="Palatino Linotype" w:hAnsi="Palatino Linotype"/>
          <w:bCs/>
          <w:color w:val="000000" w:themeColor="text1"/>
          <w:sz w:val="23"/>
          <w:szCs w:val="23"/>
        </w:rPr>
        <w:t>los Programas Anuales de Difusión</w:t>
      </w:r>
      <w:r>
        <w:rPr>
          <w:rFonts w:ascii="Palatino Linotype" w:hAnsi="Palatino Linotype" w:cs="Arial"/>
        </w:rPr>
        <w:t xml:space="preserve"> no puede colmar el derecho de acceso a la información accionado po</w:t>
      </w:r>
      <w:r w:rsidR="001721A6">
        <w:rPr>
          <w:rFonts w:ascii="Palatino Linotype" w:hAnsi="Palatino Linotype" w:cs="Arial"/>
        </w:rPr>
        <w:t xml:space="preserve">r la particular, debido a que </w:t>
      </w:r>
      <w:r w:rsidR="001721A6" w:rsidRPr="001721A6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SU</w:t>
      </w:r>
      <w:r w:rsidRPr="003630F2">
        <w:rPr>
          <w:rFonts w:ascii="Palatino Linotype" w:hAnsi="Palatino Linotype" w:cs="Arial"/>
          <w:b/>
        </w:rPr>
        <w:t>JETO OBLIGADO</w:t>
      </w:r>
      <w:r>
        <w:rPr>
          <w:rFonts w:ascii="Palatino Linotype" w:hAnsi="Palatino Linotype" w:cs="Arial"/>
        </w:rPr>
        <w:t xml:space="preserve"> afirmó la existencia </w:t>
      </w:r>
      <w:r w:rsidR="00684B8F">
        <w:rPr>
          <w:rFonts w:ascii="Palatino Linotype" w:hAnsi="Palatino Linotype" w:cs="Arial"/>
        </w:rPr>
        <w:t xml:space="preserve">de las evidencias de estos, constantes de </w:t>
      </w:r>
      <w:r w:rsidR="00684B8F">
        <w:rPr>
          <w:rFonts w:ascii="Palatino Linotype" w:hAnsi="Palatino Linotype"/>
          <w:sz w:val="23"/>
          <w:szCs w:val="23"/>
        </w:rPr>
        <w:t>323 fojas en total respecto a los años solicitados</w:t>
      </w:r>
      <w:r>
        <w:rPr>
          <w:rFonts w:ascii="Palatino Linotype" w:hAnsi="Palatino Linotype" w:cs="Arial"/>
        </w:rPr>
        <w:t>.</w:t>
      </w:r>
    </w:p>
    <w:p w14:paraId="0F1E38D8" w14:textId="3D9B1DBA" w:rsidR="00672C7B" w:rsidRPr="00973BF1" w:rsidRDefault="00672C7B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Es así, que si bien la información remitida como </w:t>
      </w:r>
      <w:r w:rsidR="00684B8F">
        <w:rPr>
          <w:rFonts w:ascii="Palatino Linotype" w:hAnsi="Palatino Linotype" w:cs="Arial"/>
        </w:rPr>
        <w:t>respuesta</w:t>
      </w:r>
      <w:r>
        <w:rPr>
          <w:rFonts w:ascii="Palatino Linotype" w:hAnsi="Palatino Linotype" w:cs="Arial"/>
        </w:rPr>
        <w:t xml:space="preserve"> </w:t>
      </w:r>
      <w:r w:rsidR="009F2942">
        <w:rPr>
          <w:rFonts w:ascii="Palatino Linotype" w:hAnsi="Palatino Linotype" w:cs="Arial"/>
        </w:rPr>
        <w:t>es parte de lo requerido por la particular,</w:t>
      </w:r>
      <w:r>
        <w:rPr>
          <w:rFonts w:ascii="Palatino Linotype" w:hAnsi="Palatino Linotype" w:cs="Arial"/>
        </w:rPr>
        <w:t xml:space="preserve"> también lo es que dicho documento </w:t>
      </w:r>
      <w:r w:rsidR="009F2942">
        <w:rPr>
          <w:rFonts w:ascii="Palatino Linotype" w:hAnsi="Palatino Linotype" w:cs="Arial"/>
        </w:rPr>
        <w:t xml:space="preserve">no colma en su totalidad el derecho de acceso a la información accionado por la ahora </w:t>
      </w:r>
      <w:r w:rsidR="009F2942" w:rsidRPr="009F2942">
        <w:rPr>
          <w:rFonts w:ascii="Palatino Linotype" w:hAnsi="Palatino Linotype" w:cs="Arial"/>
          <w:b/>
        </w:rPr>
        <w:t>RECURRENTE</w:t>
      </w:r>
      <w:r w:rsidR="009F2942">
        <w:rPr>
          <w:rFonts w:ascii="Palatino Linotype" w:hAnsi="Palatino Linotype" w:cs="Arial"/>
        </w:rPr>
        <w:t xml:space="preserve">, puesto que dentro de los resolutivos se debió </w:t>
      </w:r>
      <w:r w:rsidR="001A715B">
        <w:rPr>
          <w:rFonts w:ascii="Palatino Linotype" w:hAnsi="Palatino Linotype" w:cs="Arial"/>
        </w:rPr>
        <w:t>ordenar</w:t>
      </w:r>
      <w:r w:rsidR="009F2942">
        <w:rPr>
          <w:rFonts w:ascii="Palatino Linotype" w:hAnsi="Palatino Linotype" w:cs="Arial"/>
        </w:rPr>
        <w:t xml:space="preserve"> específicamente que previo pago de derechos se entregara las evidencias derivadas de los Planes Anuales de Difusión de los años 2016, 2017 y 2018</w:t>
      </w:r>
      <w:r w:rsidRPr="00973BF1">
        <w:rPr>
          <w:rFonts w:ascii="Palatino Linotype" w:hAnsi="Palatino Linotype" w:cs="Arial"/>
        </w:rPr>
        <w:t>.</w:t>
      </w:r>
    </w:p>
    <w:p w14:paraId="15777C61" w14:textId="7A548176" w:rsidR="00672C7B" w:rsidRDefault="00672C7B" w:rsidP="001A715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2D604C">
        <w:rPr>
          <w:rFonts w:ascii="Palatino Linotype" w:hAnsi="Palatino Linotype" w:cs="Arial"/>
        </w:rPr>
        <w:t xml:space="preserve">Lo anterior, </w:t>
      </w:r>
      <w:r>
        <w:rPr>
          <w:rFonts w:ascii="Palatino Linotype" w:hAnsi="Palatino Linotype" w:cs="Arial"/>
        </w:rPr>
        <w:t>de conformidad con lo señalado en el artículo 9</w:t>
      </w:r>
      <w:r w:rsidR="00684B8F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fracción I de la Ley de Transparencia y Acceso a la Información Pública del Estado de Mexica y Municipios, que establece:</w:t>
      </w:r>
    </w:p>
    <w:p w14:paraId="170626FD" w14:textId="1B88306D" w:rsidR="00672C7B" w:rsidRDefault="00672C7B" w:rsidP="001A715B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b/>
          <w:i/>
          <w:sz w:val="22"/>
        </w:rPr>
        <w:t>“</w:t>
      </w:r>
      <w:r w:rsidRPr="000E16CE">
        <w:rPr>
          <w:rFonts w:ascii="Palatino Linotype" w:hAnsi="Palatino Linotype" w:cs="Arial"/>
          <w:b/>
          <w:i/>
          <w:sz w:val="22"/>
        </w:rPr>
        <w:t>Artículo 9.</w:t>
      </w:r>
      <w:r>
        <w:rPr>
          <w:rFonts w:ascii="Palatino Linotype" w:hAnsi="Palatino Linotype" w:cs="Arial"/>
          <w:i/>
          <w:sz w:val="22"/>
        </w:rPr>
        <w:t xml:space="preserve"> El Instituto deberá regir su funcionamiento de acuerdo a los siguientes principios:</w:t>
      </w:r>
    </w:p>
    <w:p w14:paraId="62126F35" w14:textId="77777777" w:rsidR="00672C7B" w:rsidRDefault="00672C7B" w:rsidP="001A715B">
      <w:pPr>
        <w:pStyle w:val="Prrafodelista"/>
        <w:numPr>
          <w:ilvl w:val="0"/>
          <w:numId w:val="11"/>
        </w:numPr>
        <w:spacing w:before="100" w:beforeAutospacing="1" w:after="100" w:afterAutospacing="1"/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Certeza: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14:paraId="7841200A" w14:textId="77777777" w:rsidR="00672C7B" w:rsidRDefault="00672C7B" w:rsidP="001A715B">
      <w:pPr>
        <w:spacing w:before="100" w:beforeAutospacing="1" w:after="100" w:afterAutospacing="1"/>
        <w:ind w:left="709" w:right="757"/>
        <w:jc w:val="both"/>
        <w:rPr>
          <w:rFonts w:ascii="Palatino Linotype" w:hAnsi="Palatino Linotype" w:cs="Arial"/>
          <w:i/>
          <w:sz w:val="22"/>
        </w:rPr>
      </w:pPr>
      <w:r w:rsidRPr="00411080">
        <w:rPr>
          <w:rFonts w:ascii="Palatino Linotype" w:hAnsi="Palatino Linotype" w:cs="Arial"/>
          <w:i/>
          <w:sz w:val="22"/>
        </w:rPr>
        <w:t>…</w:t>
      </w:r>
      <w:r>
        <w:rPr>
          <w:rFonts w:ascii="Palatino Linotype" w:hAnsi="Palatino Linotype" w:cs="Arial"/>
          <w:i/>
          <w:sz w:val="22"/>
        </w:rPr>
        <w:t>”</w:t>
      </w:r>
    </w:p>
    <w:p w14:paraId="75770D06" w14:textId="77777777" w:rsidR="00672C7B" w:rsidRDefault="00672C7B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A fin de robustecer lo expuesto, conviene citar </w:t>
      </w:r>
      <w:r>
        <w:rPr>
          <w:rFonts w:ascii="Palatino Linotype" w:hAnsi="Palatino Linotype" w:cs="Segoe UI"/>
        </w:rPr>
        <w:t xml:space="preserve">el criterio orientador </w:t>
      </w:r>
      <w:r>
        <w:rPr>
          <w:rFonts w:ascii="Palatino Linotype" w:hAnsi="Palatino Linotype"/>
          <w:lang w:eastAsia="es-MX"/>
        </w:rPr>
        <w:t>002/2017 del Instituto Nacional de Acceso a la Información y Protección de Datos (INAI),</w:t>
      </w:r>
      <w:r>
        <w:rPr>
          <w:rFonts w:ascii="Palatino Linotype" w:hAnsi="Palatino Linotype" w:cs="Arial"/>
        </w:rPr>
        <w:t xml:space="preserve"> cuyo tenor es el siguiente:</w:t>
      </w:r>
    </w:p>
    <w:p w14:paraId="733BA6DF" w14:textId="77777777" w:rsidR="00672C7B" w:rsidRPr="00D621C2" w:rsidRDefault="00672C7B" w:rsidP="001A715B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/>
          <w:bCs/>
          <w:i/>
          <w:sz w:val="22"/>
        </w:rPr>
        <w:t>“Congruencia y exhaustividad.</w:t>
      </w:r>
      <w:r w:rsidRPr="006807DD">
        <w:rPr>
          <w:rFonts w:ascii="Palatino Linotype" w:hAnsi="Palatino Linotype" w:cs="Arial"/>
          <w:bCs/>
          <w:i/>
          <w:sz w:val="22"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  <w:sz w:val="22"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  <w:sz w:val="22"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  <w:sz w:val="22"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  <w:sz w:val="22"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  <w:sz w:val="22"/>
        </w:rPr>
        <w:t>cuando las respuestas que emitan guarden una relación lógica con lo solicitado y atiendan de manera puntual y expresa, cada uno de los contenidos de información.</w:t>
      </w:r>
    </w:p>
    <w:p w14:paraId="3BF247D5" w14:textId="6A1A435A" w:rsidR="00672C7B" w:rsidRPr="001A715B" w:rsidRDefault="00672C7B" w:rsidP="001A715B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  <w:sz w:val="22"/>
        </w:rPr>
      </w:pPr>
      <w:r w:rsidRPr="006807DD">
        <w:rPr>
          <w:rFonts w:ascii="Palatino Linotype" w:hAnsi="Palatino Linotype" w:cs="Arial"/>
          <w:bCs/>
          <w:i/>
          <w:sz w:val="22"/>
        </w:rPr>
        <w:t xml:space="preserve">Resoluciones: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0003/16. Comisión Nacional de las Zonas Áridas. 29 de junio de 2016. Por unanimidad. Comisionado Ponente Oscar Mauricio Guerra Ford.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  <w:sz w:val="22"/>
        </w:rPr>
        <w:sym w:font="Symbol" w:char="F0B7"/>
      </w:r>
      <w:r w:rsidRPr="006807DD">
        <w:rPr>
          <w:rFonts w:ascii="Palatino Linotype" w:hAnsi="Palatino Linotype" w:cs="Arial"/>
          <w:bCs/>
          <w:i/>
          <w:sz w:val="22"/>
        </w:rPr>
        <w:t xml:space="preserve"> RRA 1419/16. Secretaría de Educación Pública. 14 de septiembre de 2016. Por unanimidad. Comisionado Ponente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Rosendoevgueni</w:t>
      </w:r>
      <w:proofErr w:type="spellEnd"/>
      <w:r w:rsidRPr="006807DD">
        <w:rPr>
          <w:rFonts w:ascii="Palatino Linotype" w:hAnsi="Palatino Linotype" w:cs="Arial"/>
          <w:bCs/>
          <w:i/>
          <w:sz w:val="22"/>
        </w:rPr>
        <w:t xml:space="preserve"> Monterrey </w:t>
      </w:r>
      <w:proofErr w:type="spellStart"/>
      <w:r w:rsidRPr="006807DD">
        <w:rPr>
          <w:rFonts w:ascii="Palatino Linotype" w:hAnsi="Palatino Linotype" w:cs="Arial"/>
          <w:bCs/>
          <w:i/>
          <w:sz w:val="22"/>
        </w:rPr>
        <w:t>Chepov</w:t>
      </w:r>
      <w:proofErr w:type="spellEnd"/>
      <w:r w:rsidRPr="007D2ED5">
        <w:rPr>
          <w:rFonts w:ascii="Palatino Linotype" w:hAnsi="Palatino Linotype" w:cs="Arial"/>
          <w:b/>
          <w:bCs/>
          <w:i/>
          <w:sz w:val="22"/>
        </w:rPr>
        <w:t>.”</w:t>
      </w:r>
    </w:p>
    <w:p w14:paraId="2F1DFBCF" w14:textId="21AC45B4" w:rsidR="00834789" w:rsidRDefault="00672C7B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C67120">
        <w:rPr>
          <w:rFonts w:ascii="Palatino Linotype" w:hAnsi="Palatino Linotype" w:cs="Arial"/>
        </w:rPr>
        <w:t>P</w:t>
      </w:r>
      <w:r w:rsidRPr="0086018C">
        <w:rPr>
          <w:rFonts w:ascii="Palatino Linotype" w:hAnsi="Palatino Linotype"/>
        </w:rPr>
        <w:t>or lo que</w:t>
      </w:r>
      <w:r w:rsidRPr="0086018C">
        <w:rPr>
          <w:rFonts w:ascii="Palatino Linotype" w:hAnsi="Palatino Linotype" w:cs="Arial"/>
        </w:rPr>
        <w:t xml:space="preserve">, </w:t>
      </w:r>
      <w:r w:rsidRPr="0086018C">
        <w:rPr>
          <w:rFonts w:ascii="Palatino Linotype" w:hAnsi="Palatino Linotype"/>
        </w:rPr>
        <w:t xml:space="preserve">la que suscribe </w:t>
      </w:r>
      <w:r w:rsidRPr="0086018C">
        <w:rPr>
          <w:rFonts w:ascii="Palatino Linotype" w:hAnsi="Palatino Linotype" w:cs="Arial"/>
        </w:rPr>
        <w:t xml:space="preserve">emite </w:t>
      </w:r>
      <w:r w:rsidRPr="0086018C">
        <w:rPr>
          <w:rFonts w:ascii="Palatino Linotype" w:hAnsi="Palatino Linotype" w:cs="Arial"/>
          <w:b/>
        </w:rPr>
        <w:t xml:space="preserve">VOTO PARTICULAR </w:t>
      </w:r>
      <w:r w:rsidRPr="0086018C">
        <w:rPr>
          <w:rFonts w:ascii="Palatino Linotype" w:hAnsi="Palatino Linotype" w:cs="Arial"/>
        </w:rPr>
        <w:t xml:space="preserve">en razón de que </w:t>
      </w:r>
      <w:r>
        <w:rPr>
          <w:rFonts w:ascii="Palatino Linotype" w:hAnsi="Palatino Linotype" w:cs="Arial"/>
        </w:rPr>
        <w:t xml:space="preserve">se considera que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debió ordenar </w:t>
      </w:r>
      <w:r w:rsidR="009F2942">
        <w:rPr>
          <w:rFonts w:ascii="Palatino Linotype" w:hAnsi="Palatino Linotype" w:cs="Arial"/>
        </w:rPr>
        <w:t>previo pago de derechos las evidencias derivadas de los Planes Anuales de Difusión de los años 2016, 2017 y 2018.</w:t>
      </w:r>
    </w:p>
    <w:p w14:paraId="2EA03346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52DBC05F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536FE257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064AF7AE" w14:textId="77777777" w:rsidR="00466EF6" w:rsidRDefault="00466EF6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0E3BC868" w14:textId="77777777" w:rsidR="00A857E8" w:rsidRDefault="00A857E8" w:rsidP="001A715B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p w14:paraId="6CB5F0E3" w14:textId="3D3A9CAE" w:rsidR="00A77F5C" w:rsidRPr="0086018C" w:rsidRDefault="00A77F5C" w:rsidP="00411080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EVA ABAID YAPUR</w:t>
      </w:r>
    </w:p>
    <w:p w14:paraId="04B7443C" w14:textId="2A86BE35" w:rsidR="00224BB0" w:rsidRDefault="00A77F5C" w:rsidP="009F2942">
      <w:pPr>
        <w:jc w:val="center"/>
        <w:rPr>
          <w:rFonts w:ascii="Palatino Linotype" w:hAnsi="Palatino Linotype"/>
          <w:b/>
        </w:rPr>
      </w:pPr>
      <w:r w:rsidRPr="0086018C">
        <w:rPr>
          <w:rFonts w:ascii="Palatino Linotype" w:hAnsi="Palatino Linotype"/>
          <w:b/>
        </w:rPr>
        <w:t>COMISIONADA</w:t>
      </w:r>
    </w:p>
    <w:p w14:paraId="3D3B1AA7" w14:textId="4FE58AFF" w:rsidR="002303D3" w:rsidRPr="009F2942" w:rsidRDefault="002303D3" w:rsidP="009F294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(RÚBRICA)</w:t>
      </w:r>
      <w:bookmarkStart w:id="0" w:name="_GoBack"/>
      <w:bookmarkEnd w:id="0"/>
    </w:p>
    <w:p w14:paraId="050C7A0C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4AB2DBCD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4AA71F37" w14:textId="77777777" w:rsidR="00466EF6" w:rsidRDefault="00466EF6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14:paraId="13267109" w14:textId="2550D3B7" w:rsidR="00C8239C" w:rsidRDefault="005F35CE" w:rsidP="00411080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 voto particular emitido en</w:t>
      </w:r>
      <w:r w:rsidR="00224BB0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224BB0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="00A152A7">
        <w:rPr>
          <w:rFonts w:ascii="Palatino Linotype" w:eastAsia="Calibri" w:hAnsi="Palatino Linotype" w:cs="Arial"/>
          <w:color w:val="000000" w:themeColor="text1"/>
          <w:sz w:val="20"/>
          <w:szCs w:val="20"/>
        </w:rPr>
        <w:t>el</w:t>
      </w:r>
      <w:r w:rsidR="0089397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893972" w:rsidRPr="00893972">
        <w:rPr>
          <w:rFonts w:ascii="Palatino Linotype" w:eastAsia="Calibri" w:hAnsi="Palatino Linotype" w:cs="Arial"/>
          <w:color w:val="000000" w:themeColor="text1"/>
          <w:sz w:val="20"/>
          <w:szCs w:val="20"/>
        </w:rPr>
        <w:t>recurso de revisión</w:t>
      </w:r>
      <w:r w:rsidR="001A715B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acumulados</w:t>
      </w:r>
      <w:r w:rsidR="00893972" w:rsidRPr="00893972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1A715B" w:rsidRPr="001A715B">
        <w:rPr>
          <w:rFonts w:ascii="Palatino Linotype" w:eastAsia="Calibri" w:hAnsi="Palatino Linotype" w:cs="Arial"/>
          <w:color w:val="000000" w:themeColor="text1"/>
          <w:sz w:val="20"/>
          <w:szCs w:val="20"/>
        </w:rPr>
        <w:t>02365/INFOEM/IP/RR/2018, 02366/INFOEM/IP/RR/2018, 02528/INFOEM/IP/RR/2018, 02529/INFOEM/IP/RR/2018, 02530/INFOEM/IP/RR/2018, 02531/INFOEM/IP/RR/2018, 02532/INFOEM/IP/RR/2018, 02533/INFOEM/IP/RR/2018, 02534/INFOEM/IP/RR/2018, 02535/INFOEM/IP/RR/2018, 02537/INFOEM/IP/RR/2018 y 02538/INFOEM/IP/RR/2018</w:t>
      </w:r>
      <w:r w:rsidR="00A77F5C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1A715B">
        <w:rPr>
          <w:rFonts w:ascii="Palatino Linotype" w:eastAsia="Calibri" w:hAnsi="Palatino Linotype" w:cs="Arial"/>
          <w:color w:val="000000" w:themeColor="text1"/>
          <w:sz w:val="20"/>
          <w:szCs w:val="20"/>
        </w:rPr>
        <w:t>doce de septiembre</w:t>
      </w:r>
      <w:r w:rsidR="00A152A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del año dos mil dieciocho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14:paraId="5AE66B35" w14:textId="2FCC35D4" w:rsidR="008F5190" w:rsidRPr="0086018C" w:rsidRDefault="009F2942" w:rsidP="00B92807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FF7C70" w:rsidRPr="0086018C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r w:rsidR="00401065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</w:p>
    <w:sectPr w:rsidR="008F5190" w:rsidRPr="0086018C" w:rsidSect="0003749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2954" w14:textId="77777777" w:rsidR="00121912" w:rsidRDefault="00121912" w:rsidP="00C80F8C">
      <w:r>
        <w:separator/>
      </w:r>
    </w:p>
  </w:endnote>
  <w:endnote w:type="continuationSeparator" w:id="0">
    <w:p w14:paraId="35E724FE" w14:textId="77777777" w:rsidR="00121912" w:rsidRDefault="00121912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303D3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303D3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75569" w14:textId="77777777" w:rsidR="00121912" w:rsidRDefault="00121912" w:rsidP="00C80F8C">
      <w:r>
        <w:separator/>
      </w:r>
    </w:p>
  </w:footnote>
  <w:footnote w:type="continuationSeparator" w:id="0">
    <w:p w14:paraId="4EECC774" w14:textId="77777777" w:rsidR="00121912" w:rsidRDefault="00121912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2303D3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304D6B3F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2C7EA5FA" w:rsidR="0034309A" w:rsidRDefault="0034309A" w:rsidP="00A857E8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4DD6F788" w14:textId="69B91F43" w:rsidR="009C1FB9" w:rsidRDefault="0034309A" w:rsidP="00A857E8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9C1FB9"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</w:t>
    </w:r>
  </w:p>
  <w:p w14:paraId="615FA058" w14:textId="2D125CCA" w:rsidR="00037496" w:rsidRDefault="00037496" w:rsidP="00A857E8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037496">
      <w:rPr>
        <w:rFonts w:ascii="Palatino Linotype" w:hAnsi="Palatino Linotype" w:cs="Arial"/>
        <w:sz w:val="20"/>
        <w:szCs w:val="20"/>
      </w:rPr>
      <w:t>0</w:t>
    </w:r>
    <w:r w:rsidR="009C1FB9">
      <w:rPr>
        <w:rFonts w:ascii="Palatino Linotype" w:hAnsi="Palatino Linotype" w:cs="Arial"/>
        <w:sz w:val="20"/>
        <w:szCs w:val="20"/>
      </w:rPr>
      <w:t>2365</w:t>
    </w:r>
    <w:r w:rsidRPr="00037496">
      <w:rPr>
        <w:rFonts w:ascii="Palatino Linotype" w:hAnsi="Palatino Linotype" w:cs="Arial"/>
        <w:sz w:val="20"/>
        <w:szCs w:val="20"/>
      </w:rPr>
      <w:t>/INFOEM/IP/RR/201</w:t>
    </w:r>
    <w:r w:rsidR="00C13853">
      <w:rPr>
        <w:rFonts w:ascii="Palatino Linotype" w:hAnsi="Palatino Linotype" w:cs="Arial"/>
        <w:sz w:val="20"/>
        <w:szCs w:val="20"/>
      </w:rPr>
      <w:t>8</w:t>
    </w:r>
    <w:r w:rsidRPr="00037496">
      <w:rPr>
        <w:rFonts w:ascii="Palatino Linotype" w:hAnsi="Palatino Linotype" w:cs="Arial"/>
        <w:sz w:val="20"/>
        <w:szCs w:val="20"/>
      </w:rPr>
      <w:t xml:space="preserve"> </w:t>
    </w:r>
    <w:r w:rsidR="009C1FB9">
      <w:rPr>
        <w:rFonts w:ascii="Palatino Linotype" w:hAnsi="Palatino Linotype" w:cs="Arial"/>
        <w:sz w:val="20"/>
        <w:szCs w:val="20"/>
      </w:rPr>
      <w:t>Y ACUMULADOS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2518205D" w:rsidR="0030072F" w:rsidRDefault="002303D3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09.9pt;height:68.2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2303D3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15BE"/>
    <w:multiLevelType w:val="hybridMultilevel"/>
    <w:tmpl w:val="9FC0F8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441F5"/>
    <w:multiLevelType w:val="hybridMultilevel"/>
    <w:tmpl w:val="5B0EC0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AB74CB"/>
    <w:multiLevelType w:val="hybridMultilevel"/>
    <w:tmpl w:val="C6D2F6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8B4243"/>
    <w:multiLevelType w:val="hybridMultilevel"/>
    <w:tmpl w:val="43FED68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9A73C3"/>
    <w:multiLevelType w:val="hybridMultilevel"/>
    <w:tmpl w:val="54EEB2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E7647"/>
    <w:multiLevelType w:val="hybridMultilevel"/>
    <w:tmpl w:val="1EAAB2CE"/>
    <w:lvl w:ilvl="0" w:tplc="5A0036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F9428F3"/>
    <w:multiLevelType w:val="hybridMultilevel"/>
    <w:tmpl w:val="EC120EAC"/>
    <w:lvl w:ilvl="0" w:tplc="E4F8878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13"/>
  </w:num>
  <w:num w:numId="8">
    <w:abstractNumId w:val="14"/>
  </w:num>
  <w:num w:numId="9">
    <w:abstractNumId w:val="12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4ADF"/>
    <w:rsid w:val="00027B69"/>
    <w:rsid w:val="00037496"/>
    <w:rsid w:val="000412FB"/>
    <w:rsid w:val="00055107"/>
    <w:rsid w:val="00060328"/>
    <w:rsid w:val="0006079D"/>
    <w:rsid w:val="0007653D"/>
    <w:rsid w:val="00080A1C"/>
    <w:rsid w:val="00082101"/>
    <w:rsid w:val="0008542A"/>
    <w:rsid w:val="0008745A"/>
    <w:rsid w:val="00092678"/>
    <w:rsid w:val="00095B30"/>
    <w:rsid w:val="000A32F3"/>
    <w:rsid w:val="000A73D1"/>
    <w:rsid w:val="000B01EA"/>
    <w:rsid w:val="000B3FFD"/>
    <w:rsid w:val="000C1A85"/>
    <w:rsid w:val="000C2CF9"/>
    <w:rsid w:val="000C4453"/>
    <w:rsid w:val="000D136C"/>
    <w:rsid w:val="000D25BF"/>
    <w:rsid w:val="000D66DE"/>
    <w:rsid w:val="000E2B1A"/>
    <w:rsid w:val="000E4AB7"/>
    <w:rsid w:val="000E4C17"/>
    <w:rsid w:val="0010060B"/>
    <w:rsid w:val="00102EEC"/>
    <w:rsid w:val="00105017"/>
    <w:rsid w:val="0010583C"/>
    <w:rsid w:val="001059D0"/>
    <w:rsid w:val="00117749"/>
    <w:rsid w:val="00121912"/>
    <w:rsid w:val="00123644"/>
    <w:rsid w:val="0013735C"/>
    <w:rsid w:val="00140058"/>
    <w:rsid w:val="0014159B"/>
    <w:rsid w:val="001721A6"/>
    <w:rsid w:val="00175DEE"/>
    <w:rsid w:val="00187FFD"/>
    <w:rsid w:val="001950C9"/>
    <w:rsid w:val="001A5699"/>
    <w:rsid w:val="001A715B"/>
    <w:rsid w:val="001B4769"/>
    <w:rsid w:val="001D3F57"/>
    <w:rsid w:val="001D532F"/>
    <w:rsid w:val="001E757E"/>
    <w:rsid w:val="001E763C"/>
    <w:rsid w:val="001F23BE"/>
    <w:rsid w:val="001F7E6D"/>
    <w:rsid w:val="00202265"/>
    <w:rsid w:val="0022354C"/>
    <w:rsid w:val="00224BB0"/>
    <w:rsid w:val="002303D3"/>
    <w:rsid w:val="002314AA"/>
    <w:rsid w:val="0023504D"/>
    <w:rsid w:val="00237A37"/>
    <w:rsid w:val="0024119C"/>
    <w:rsid w:val="0025202C"/>
    <w:rsid w:val="002562CC"/>
    <w:rsid w:val="00265F75"/>
    <w:rsid w:val="00275FC5"/>
    <w:rsid w:val="002940F8"/>
    <w:rsid w:val="002B176C"/>
    <w:rsid w:val="002B7856"/>
    <w:rsid w:val="002C6612"/>
    <w:rsid w:val="002D3BBD"/>
    <w:rsid w:val="002D4526"/>
    <w:rsid w:val="002D604C"/>
    <w:rsid w:val="002D69E1"/>
    <w:rsid w:val="002E5711"/>
    <w:rsid w:val="002F5CF7"/>
    <w:rsid w:val="0030072F"/>
    <w:rsid w:val="003031E1"/>
    <w:rsid w:val="00303E1F"/>
    <w:rsid w:val="003056D9"/>
    <w:rsid w:val="003102FA"/>
    <w:rsid w:val="00310899"/>
    <w:rsid w:val="003169C7"/>
    <w:rsid w:val="003307D4"/>
    <w:rsid w:val="00334D4B"/>
    <w:rsid w:val="00337BB0"/>
    <w:rsid w:val="00341887"/>
    <w:rsid w:val="0034309A"/>
    <w:rsid w:val="00351129"/>
    <w:rsid w:val="0037321B"/>
    <w:rsid w:val="003A3EC6"/>
    <w:rsid w:val="003A6F70"/>
    <w:rsid w:val="003C23BE"/>
    <w:rsid w:val="003C28FC"/>
    <w:rsid w:val="003C2D10"/>
    <w:rsid w:val="003C7226"/>
    <w:rsid w:val="003D1C14"/>
    <w:rsid w:val="003E0A7C"/>
    <w:rsid w:val="003E7C23"/>
    <w:rsid w:val="003F0C49"/>
    <w:rsid w:val="003F4C9C"/>
    <w:rsid w:val="00401065"/>
    <w:rsid w:val="0040475C"/>
    <w:rsid w:val="00410D1F"/>
    <w:rsid w:val="00411080"/>
    <w:rsid w:val="0041327F"/>
    <w:rsid w:val="00414E48"/>
    <w:rsid w:val="00414E7B"/>
    <w:rsid w:val="00416F64"/>
    <w:rsid w:val="004179B7"/>
    <w:rsid w:val="00422CE9"/>
    <w:rsid w:val="004315BB"/>
    <w:rsid w:val="0044271B"/>
    <w:rsid w:val="00443646"/>
    <w:rsid w:val="0044475B"/>
    <w:rsid w:val="00450C8C"/>
    <w:rsid w:val="004525F5"/>
    <w:rsid w:val="00455CB3"/>
    <w:rsid w:val="004661D2"/>
    <w:rsid w:val="00466EF6"/>
    <w:rsid w:val="004776FF"/>
    <w:rsid w:val="004830EE"/>
    <w:rsid w:val="00493149"/>
    <w:rsid w:val="004B7325"/>
    <w:rsid w:val="004C40EA"/>
    <w:rsid w:val="004C64D9"/>
    <w:rsid w:val="004D0A26"/>
    <w:rsid w:val="004E1B2C"/>
    <w:rsid w:val="00500FFD"/>
    <w:rsid w:val="00516914"/>
    <w:rsid w:val="005236B6"/>
    <w:rsid w:val="005257FC"/>
    <w:rsid w:val="005318AB"/>
    <w:rsid w:val="005321E3"/>
    <w:rsid w:val="00552317"/>
    <w:rsid w:val="00552EFD"/>
    <w:rsid w:val="00562649"/>
    <w:rsid w:val="00575235"/>
    <w:rsid w:val="0058067E"/>
    <w:rsid w:val="0058639E"/>
    <w:rsid w:val="005870DF"/>
    <w:rsid w:val="0058776D"/>
    <w:rsid w:val="00592A18"/>
    <w:rsid w:val="005B773B"/>
    <w:rsid w:val="005C66D4"/>
    <w:rsid w:val="005C7D78"/>
    <w:rsid w:val="005D14C4"/>
    <w:rsid w:val="005D1946"/>
    <w:rsid w:val="005D20C2"/>
    <w:rsid w:val="005F0B50"/>
    <w:rsid w:val="005F35CE"/>
    <w:rsid w:val="00612544"/>
    <w:rsid w:val="0061616C"/>
    <w:rsid w:val="006301B2"/>
    <w:rsid w:val="00634485"/>
    <w:rsid w:val="0063673D"/>
    <w:rsid w:val="00646A97"/>
    <w:rsid w:val="00663A16"/>
    <w:rsid w:val="006678E9"/>
    <w:rsid w:val="00672211"/>
    <w:rsid w:val="00672C7B"/>
    <w:rsid w:val="006824EF"/>
    <w:rsid w:val="00682D89"/>
    <w:rsid w:val="00684492"/>
    <w:rsid w:val="00684B8F"/>
    <w:rsid w:val="00694EB3"/>
    <w:rsid w:val="006967D4"/>
    <w:rsid w:val="00696991"/>
    <w:rsid w:val="006A0D56"/>
    <w:rsid w:val="006A496D"/>
    <w:rsid w:val="006A6FE9"/>
    <w:rsid w:val="006C0991"/>
    <w:rsid w:val="006C2DE2"/>
    <w:rsid w:val="006D6457"/>
    <w:rsid w:val="006E1D93"/>
    <w:rsid w:val="006E4874"/>
    <w:rsid w:val="006E6389"/>
    <w:rsid w:val="006E69EC"/>
    <w:rsid w:val="006F30F8"/>
    <w:rsid w:val="00702DEC"/>
    <w:rsid w:val="00704924"/>
    <w:rsid w:val="00712BC2"/>
    <w:rsid w:val="0071346B"/>
    <w:rsid w:val="00721966"/>
    <w:rsid w:val="00724599"/>
    <w:rsid w:val="00736C06"/>
    <w:rsid w:val="007416E3"/>
    <w:rsid w:val="00742010"/>
    <w:rsid w:val="00772360"/>
    <w:rsid w:val="0078087A"/>
    <w:rsid w:val="00782352"/>
    <w:rsid w:val="007A4AB6"/>
    <w:rsid w:val="007B6E55"/>
    <w:rsid w:val="007C0FDA"/>
    <w:rsid w:val="007C3C0E"/>
    <w:rsid w:val="007C55DD"/>
    <w:rsid w:val="007D05D8"/>
    <w:rsid w:val="007D0FEE"/>
    <w:rsid w:val="007D516F"/>
    <w:rsid w:val="007E5B96"/>
    <w:rsid w:val="00813335"/>
    <w:rsid w:val="00815919"/>
    <w:rsid w:val="00817883"/>
    <w:rsid w:val="008205F5"/>
    <w:rsid w:val="008217CD"/>
    <w:rsid w:val="00827787"/>
    <w:rsid w:val="00834789"/>
    <w:rsid w:val="00846A21"/>
    <w:rsid w:val="00847E60"/>
    <w:rsid w:val="008556C3"/>
    <w:rsid w:val="008562AB"/>
    <w:rsid w:val="00857921"/>
    <w:rsid w:val="0086018C"/>
    <w:rsid w:val="00876477"/>
    <w:rsid w:val="00892AFC"/>
    <w:rsid w:val="00893972"/>
    <w:rsid w:val="00896FFA"/>
    <w:rsid w:val="008C0700"/>
    <w:rsid w:val="008C0C70"/>
    <w:rsid w:val="008C17F2"/>
    <w:rsid w:val="008D1526"/>
    <w:rsid w:val="008D532B"/>
    <w:rsid w:val="008D584A"/>
    <w:rsid w:val="008F1BDD"/>
    <w:rsid w:val="008F5190"/>
    <w:rsid w:val="009141A6"/>
    <w:rsid w:val="00926A92"/>
    <w:rsid w:val="0093343E"/>
    <w:rsid w:val="00953EC8"/>
    <w:rsid w:val="00966E59"/>
    <w:rsid w:val="00973BF1"/>
    <w:rsid w:val="00975AA3"/>
    <w:rsid w:val="00975EB9"/>
    <w:rsid w:val="00976BAB"/>
    <w:rsid w:val="009773AF"/>
    <w:rsid w:val="00986740"/>
    <w:rsid w:val="00994FFE"/>
    <w:rsid w:val="009A271C"/>
    <w:rsid w:val="009A67F5"/>
    <w:rsid w:val="009B65F4"/>
    <w:rsid w:val="009C1FB9"/>
    <w:rsid w:val="009C299B"/>
    <w:rsid w:val="009C2F32"/>
    <w:rsid w:val="009C46BF"/>
    <w:rsid w:val="009C73B7"/>
    <w:rsid w:val="009D63A9"/>
    <w:rsid w:val="009E5EDA"/>
    <w:rsid w:val="009F2942"/>
    <w:rsid w:val="00A032F1"/>
    <w:rsid w:val="00A04C79"/>
    <w:rsid w:val="00A14B1D"/>
    <w:rsid w:val="00A152A7"/>
    <w:rsid w:val="00A24EA2"/>
    <w:rsid w:val="00A34EA2"/>
    <w:rsid w:val="00A3624F"/>
    <w:rsid w:val="00A40057"/>
    <w:rsid w:val="00A4593D"/>
    <w:rsid w:val="00A53958"/>
    <w:rsid w:val="00A53E9B"/>
    <w:rsid w:val="00A60D1E"/>
    <w:rsid w:val="00A6652A"/>
    <w:rsid w:val="00A73612"/>
    <w:rsid w:val="00A77F5C"/>
    <w:rsid w:val="00A805F0"/>
    <w:rsid w:val="00A81140"/>
    <w:rsid w:val="00A81532"/>
    <w:rsid w:val="00A824CA"/>
    <w:rsid w:val="00A857E8"/>
    <w:rsid w:val="00A911A4"/>
    <w:rsid w:val="00A913AB"/>
    <w:rsid w:val="00A97B6B"/>
    <w:rsid w:val="00AA5409"/>
    <w:rsid w:val="00AB21DA"/>
    <w:rsid w:val="00AC03B3"/>
    <w:rsid w:val="00AC248E"/>
    <w:rsid w:val="00AC30E5"/>
    <w:rsid w:val="00AC3F99"/>
    <w:rsid w:val="00AD0AF6"/>
    <w:rsid w:val="00AD13E4"/>
    <w:rsid w:val="00AD59F3"/>
    <w:rsid w:val="00AD6AAD"/>
    <w:rsid w:val="00AE2B18"/>
    <w:rsid w:val="00AF0B38"/>
    <w:rsid w:val="00AF3F82"/>
    <w:rsid w:val="00AF7CEC"/>
    <w:rsid w:val="00B106EA"/>
    <w:rsid w:val="00B11DB6"/>
    <w:rsid w:val="00B151A8"/>
    <w:rsid w:val="00B27BE5"/>
    <w:rsid w:val="00B33501"/>
    <w:rsid w:val="00B337A5"/>
    <w:rsid w:val="00B35A45"/>
    <w:rsid w:val="00B36D1D"/>
    <w:rsid w:val="00B4641E"/>
    <w:rsid w:val="00B46E78"/>
    <w:rsid w:val="00B47F5A"/>
    <w:rsid w:val="00B5072E"/>
    <w:rsid w:val="00B53290"/>
    <w:rsid w:val="00B54145"/>
    <w:rsid w:val="00B54AFD"/>
    <w:rsid w:val="00B57FE6"/>
    <w:rsid w:val="00B64C77"/>
    <w:rsid w:val="00B650A8"/>
    <w:rsid w:val="00B672EA"/>
    <w:rsid w:val="00B80485"/>
    <w:rsid w:val="00B92807"/>
    <w:rsid w:val="00B95BF7"/>
    <w:rsid w:val="00BA68A2"/>
    <w:rsid w:val="00BB733E"/>
    <w:rsid w:val="00BC5D71"/>
    <w:rsid w:val="00BD6845"/>
    <w:rsid w:val="00BD7483"/>
    <w:rsid w:val="00C13853"/>
    <w:rsid w:val="00C1644D"/>
    <w:rsid w:val="00C25A6E"/>
    <w:rsid w:val="00C30621"/>
    <w:rsid w:val="00C307F0"/>
    <w:rsid w:val="00C4493E"/>
    <w:rsid w:val="00C45D58"/>
    <w:rsid w:val="00C62D72"/>
    <w:rsid w:val="00C67120"/>
    <w:rsid w:val="00C766EF"/>
    <w:rsid w:val="00C80F8C"/>
    <w:rsid w:val="00C8239C"/>
    <w:rsid w:val="00C92D88"/>
    <w:rsid w:val="00CA047D"/>
    <w:rsid w:val="00CA19BB"/>
    <w:rsid w:val="00CA44CE"/>
    <w:rsid w:val="00CB55DD"/>
    <w:rsid w:val="00CB72E1"/>
    <w:rsid w:val="00CC5EAB"/>
    <w:rsid w:val="00CD13BC"/>
    <w:rsid w:val="00CF30E8"/>
    <w:rsid w:val="00CF52E6"/>
    <w:rsid w:val="00D01B99"/>
    <w:rsid w:val="00D2267B"/>
    <w:rsid w:val="00D22D87"/>
    <w:rsid w:val="00D34604"/>
    <w:rsid w:val="00D46C00"/>
    <w:rsid w:val="00D519F3"/>
    <w:rsid w:val="00D557C2"/>
    <w:rsid w:val="00D64F32"/>
    <w:rsid w:val="00D93CE4"/>
    <w:rsid w:val="00DA5209"/>
    <w:rsid w:val="00DB3CA6"/>
    <w:rsid w:val="00DC4499"/>
    <w:rsid w:val="00DD6A6C"/>
    <w:rsid w:val="00DF5AE9"/>
    <w:rsid w:val="00DF733A"/>
    <w:rsid w:val="00E10A96"/>
    <w:rsid w:val="00E110E2"/>
    <w:rsid w:val="00E146AA"/>
    <w:rsid w:val="00E24604"/>
    <w:rsid w:val="00E27F2A"/>
    <w:rsid w:val="00E313C4"/>
    <w:rsid w:val="00E42755"/>
    <w:rsid w:val="00E43B8E"/>
    <w:rsid w:val="00E45B76"/>
    <w:rsid w:val="00E46383"/>
    <w:rsid w:val="00E50E30"/>
    <w:rsid w:val="00E76ECF"/>
    <w:rsid w:val="00E80760"/>
    <w:rsid w:val="00E8209A"/>
    <w:rsid w:val="00E83F7D"/>
    <w:rsid w:val="00E9049A"/>
    <w:rsid w:val="00E91A10"/>
    <w:rsid w:val="00E96710"/>
    <w:rsid w:val="00EA27CB"/>
    <w:rsid w:val="00EA5EEB"/>
    <w:rsid w:val="00EA7874"/>
    <w:rsid w:val="00EB7480"/>
    <w:rsid w:val="00EB7DE6"/>
    <w:rsid w:val="00EB7F1A"/>
    <w:rsid w:val="00EC0002"/>
    <w:rsid w:val="00ED3510"/>
    <w:rsid w:val="00ED5EE9"/>
    <w:rsid w:val="00F06505"/>
    <w:rsid w:val="00F35AE1"/>
    <w:rsid w:val="00F35FB9"/>
    <w:rsid w:val="00F36CDE"/>
    <w:rsid w:val="00F40C05"/>
    <w:rsid w:val="00F44E84"/>
    <w:rsid w:val="00F525B6"/>
    <w:rsid w:val="00F548A9"/>
    <w:rsid w:val="00F54D8B"/>
    <w:rsid w:val="00F57D55"/>
    <w:rsid w:val="00F92952"/>
    <w:rsid w:val="00F92F15"/>
    <w:rsid w:val="00F9624E"/>
    <w:rsid w:val="00FA05FB"/>
    <w:rsid w:val="00FA5B44"/>
    <w:rsid w:val="00FA6221"/>
    <w:rsid w:val="00FB48D6"/>
    <w:rsid w:val="00FE7408"/>
    <w:rsid w:val="00FF475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3AAD47DC-0E22-4B9E-BADD-77457D05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45E69-FAAA-4908-A51D-B5B71D31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7</Pages>
  <Words>1431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7</cp:revision>
  <cp:lastPrinted>2018-09-17T23:02:00Z</cp:lastPrinted>
  <dcterms:created xsi:type="dcterms:W3CDTF">2018-09-14T17:23:00Z</dcterms:created>
  <dcterms:modified xsi:type="dcterms:W3CDTF">2018-10-19T18:55:00Z</dcterms:modified>
</cp:coreProperties>
</file>